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37C9ED1" w:rsidR="00A27829" w:rsidRPr="00705307" w:rsidRDefault="00705307" w:rsidP="00A27829">
      <w:pPr>
        <w:pStyle w:val="Head"/>
      </w:pPr>
      <w:r>
        <w:rPr>
          <w:lang w:val="tr"/>
        </w:rPr>
        <w:t>Hafriyatta</w:t>
      </w:r>
      <w:r w:rsidR="00CA0804">
        <w:rPr>
          <w:lang w:val="tr"/>
        </w:rPr>
        <w:t xml:space="preserve"> </w:t>
      </w:r>
      <w:r>
        <w:rPr>
          <w:lang w:val="tr"/>
        </w:rPr>
        <w:t>Hamm Smart Compact - Hedef değere otomatik sıkıştırma</w:t>
      </w:r>
    </w:p>
    <w:p w14:paraId="26F0996C" w14:textId="59CB0D14" w:rsidR="00A46F1E" w:rsidRPr="00705307" w:rsidRDefault="004A2774" w:rsidP="00881E44">
      <w:pPr>
        <w:pStyle w:val="Subhead"/>
      </w:pPr>
      <w:r>
        <w:rPr>
          <w:bCs/>
          <w:iCs w:val="0"/>
          <w:lang w:val="tr"/>
        </w:rPr>
        <w:t>Hamm VA vibrasyonlu altyapı silindirleri kalite ve süreç güvenliği sağlar</w:t>
      </w:r>
    </w:p>
    <w:p w14:paraId="193790FB" w14:textId="66DF6666" w:rsidR="00A46F1E" w:rsidRPr="00CA0804" w:rsidRDefault="000F772C" w:rsidP="000F772C">
      <w:pPr>
        <w:pStyle w:val="Teaser"/>
        <w:rPr>
          <w:lang w:val="tr"/>
        </w:rPr>
      </w:pPr>
      <w:r>
        <w:rPr>
          <w:bCs/>
          <w:lang w:val="tr"/>
        </w:rPr>
        <w:t>Silindir üreticisi Hamm, 20 ve 25 ton ağırlığındaki HC 200i C VA ve HC 250i C VA ile şimdi zemin özelliklerine ve makine kullanımına bağlı olarak otomatik bir sıkıştırma sağlayan altyapı silindirlerini sunuyor. Bu modeller öncelikle standardı EU Stage V / ABD-EPA Tier 4F, olan pazarlarda kullanıma sunulacaktır. Bunu başka pazarlar izleyecektir. “VA” kısaltmasının açılımı “Ayarlanabilen Amplitüt” anlamında ”Variable Amplitude”dur. Bu Hamm teknolojisinin önemli bir bileşeni aynı şekilde yeni olan, parametrelerden bağımsız Smart Compaction Değeri’dir (SCV-Akıllı Sıkıştırma Değeri).</w:t>
      </w:r>
    </w:p>
    <w:p w14:paraId="4739B616" w14:textId="781DC922" w:rsidR="00FD7637" w:rsidRPr="00CA0804" w:rsidRDefault="000F772C" w:rsidP="00C544ED">
      <w:pPr>
        <w:pStyle w:val="Standardabsatz"/>
        <w:rPr>
          <w:lang w:val="tr"/>
        </w:rPr>
      </w:pPr>
      <w:r>
        <w:rPr>
          <w:lang w:val="tr"/>
        </w:rPr>
        <w:t>Hamm, Smart Compaction ailesinde akıllı ve kolay bir sıkıştırma için çeşitli çözümler geliştiriyor. HC serisinin VA tamburlu yeni modellerinde hafriyattaki sıkıştırmayı otomatikleştiren, kolaylaştıran ve bu esnada kaliteyi ile ekonomikliği artıran başka bir gelişme adımı atılmıştır. Hamm asfalt serimi için Smart Compact‘ın Bauma 2022’de başarılı bir şekilde tanıtılmasının ardından şimdi hafriyat için de uygun bir çözüm sunuyor.</w:t>
      </w:r>
    </w:p>
    <w:p w14:paraId="630F689A" w14:textId="7B1325F1" w:rsidR="00FD7637" w:rsidRPr="00CA0804" w:rsidRDefault="00CB4B15" w:rsidP="00FD7637">
      <w:pPr>
        <w:pStyle w:val="Absatzberschrift"/>
        <w:rPr>
          <w:lang w:val="en-US"/>
        </w:rPr>
      </w:pPr>
      <w:r>
        <w:rPr>
          <w:bCs/>
          <w:lang w:val="tr"/>
        </w:rPr>
        <w:t>Hafriyat (Toprak işleri) için Smart Compact – kolay ve hassas:</w:t>
      </w:r>
    </w:p>
    <w:p w14:paraId="2EECBAB9" w14:textId="1E95729A" w:rsidR="00D3069A" w:rsidRPr="00CA0804" w:rsidRDefault="0046322A" w:rsidP="00C947C8">
      <w:pPr>
        <w:pStyle w:val="Absatzberschrift"/>
        <w:jc w:val="both"/>
        <w:rPr>
          <w:b w:val="0"/>
          <w:lang w:val="tr"/>
        </w:rPr>
      </w:pPr>
      <w:r>
        <w:rPr>
          <w:b w:val="0"/>
          <w:lang w:val="tr"/>
        </w:rPr>
        <w:t>Otomatik sıkıştırmanın çalışma şekli operatörlerün kolay anlayacağı biçimdedir çünkü günlük şantiye kullanımında silindir operatörü otomatik mod ile manuel mod arasında seçim yapabilir. Genlik (Amplitüt) otomatik modda makine kumandası tarafından ayarlanırken silindir operatörü manuel modda beş genlik (amplitüt) arasından seçim yapabilir. Kumanda, bilinen Easy Drive ekranı üzerinden gerçekleşir. Ayrıca sıkıştırmaya başlamadan önce tipik taşıma kapasitesi değerlerini referans alan MN/m</w:t>
      </w:r>
      <w:r>
        <w:rPr>
          <w:b w:val="0"/>
          <w:vertAlign w:val="superscript"/>
          <w:lang w:val="tr"/>
        </w:rPr>
        <w:t>2</w:t>
      </w:r>
      <w:r>
        <w:rPr>
          <w:b w:val="0"/>
          <w:lang w:val="tr"/>
        </w:rPr>
        <w:t xml:space="preserve"> cinsinden bir sıkıştırma hedef değeri belirlenebilir Ardından sıkıştırma hedef değere ulaşılana kadar otomatik modda Smart Compact üzerinden ayarlanır. Burada belirleyici olan yeni geliştirilen sıkıştırma değeri Smart Compaction Değeridir (SCV). Ölçüm Smart Compaction Meter (SCM) üzerinden gerçekleşir. Sıkıştırma değeri ayrıca farklı ağırlık sınıflarında kullanıldığında bile ölçülen değerlerin yüksek oranda karşılaştırılabildiği sürüş hızı, sürüş yönü veya geçiş (pas) adedi gibi önemli etki değişkenlerinden bağımsızdır. </w:t>
      </w:r>
    </w:p>
    <w:p w14:paraId="62525495" w14:textId="77777777" w:rsidR="00D3069A" w:rsidRPr="00CA0804" w:rsidRDefault="00D3069A" w:rsidP="00D34E10">
      <w:pPr>
        <w:pStyle w:val="Absatzberschrift"/>
        <w:rPr>
          <w:lang w:val="tr"/>
        </w:rPr>
      </w:pPr>
    </w:p>
    <w:p w14:paraId="1363C8FC" w14:textId="4AC4287E" w:rsidR="00D34E10" w:rsidRPr="00CA0804" w:rsidRDefault="00FD7637" w:rsidP="00D34E10">
      <w:pPr>
        <w:pStyle w:val="Absatzberschrift"/>
        <w:rPr>
          <w:lang w:val="tr"/>
        </w:rPr>
      </w:pPr>
      <w:r>
        <w:rPr>
          <w:bCs/>
          <w:lang w:val="tr"/>
        </w:rPr>
        <w:t>Uygulamada başlıca üstünlükler</w:t>
      </w:r>
    </w:p>
    <w:p w14:paraId="5545EF8E" w14:textId="31F802FC" w:rsidR="00FD7637" w:rsidRPr="00CA0804" w:rsidRDefault="00FD7637" w:rsidP="00FD7637">
      <w:pPr>
        <w:pStyle w:val="Absatzberschrift"/>
        <w:jc w:val="both"/>
        <w:rPr>
          <w:b w:val="0"/>
          <w:lang w:val="tr"/>
        </w:rPr>
      </w:pPr>
      <w:r>
        <w:rPr>
          <w:b w:val="0"/>
          <w:lang w:val="tr"/>
        </w:rPr>
        <w:t>Yeni VA vibrasyonlu altyapı silindirlerinin kullanımında operatör ve inşaat şirketleri bakımından çeşitli üstünlükler vardır. Böylece sıkıştırmanın otomatik ayarı sadece homojen (eşit) sıkıştırmayı ayarlamakla kalmaz, aynı anda aşırı sıkıştırmayı veya tanecik parçalanmasını da önler. Her zaman yüksek süreç güvenliği ve kalite elde edildiği için VA vibrasyonlu altyapı silindirleri böylece deneyimsiz operatörler için de çekici bir çözüm haline gelmektedir. İnşaat projelerinin ekonomikliği de geçişlerden (paslardan) tasarruf buna bağlı olarak daha düşük yakıt tüketimi ve makine üzerindeki mekanik yüklenmenin azalmasıyla artar. Daha az sayıda geçiş (pas) sayesinde CO</w:t>
      </w:r>
      <w:r>
        <w:rPr>
          <w:b w:val="0"/>
          <w:vertAlign w:val="subscript"/>
          <w:lang w:val="tr"/>
        </w:rPr>
        <w:t xml:space="preserve">2 </w:t>
      </w:r>
      <w:r>
        <w:rPr>
          <w:b w:val="0"/>
          <w:lang w:val="tr"/>
        </w:rPr>
        <w:t xml:space="preserve">emisyonları da azalıyor. Bunun haricinde zıplamalı çalışmanın makine kumandası üzerinden güvenilir bir şekilde önlenmesi makine ömrünün uzamasına katkıda bulunur. </w:t>
      </w:r>
      <w:r>
        <w:rPr>
          <w:b w:val="0"/>
          <w:lang w:val="tr"/>
        </w:rPr>
        <w:lastRenderedPageBreak/>
        <w:t xml:space="preserve">Yeni teknoloji genliğin (amplitütün) doğrudan ayarlanmasıyla enerji verimliliği sağlayan komple bir sistemdir. </w:t>
      </w:r>
    </w:p>
    <w:p w14:paraId="55D0F97D" w14:textId="77777777" w:rsidR="000C1EA4" w:rsidRPr="00CA0804" w:rsidRDefault="000C1EA4" w:rsidP="00754B80">
      <w:pPr>
        <w:pStyle w:val="Absatzberschrift"/>
        <w:rPr>
          <w:lang w:val="tr"/>
        </w:rPr>
      </w:pPr>
    </w:p>
    <w:p w14:paraId="69F49D88" w14:textId="51A576BA" w:rsidR="00BD25D1" w:rsidRPr="00CA0804" w:rsidRDefault="00D34E10" w:rsidP="00754B80">
      <w:pPr>
        <w:pStyle w:val="Absatzberschrift"/>
        <w:rPr>
          <w:lang w:val="tr"/>
        </w:rPr>
      </w:pPr>
      <w:r>
        <w:rPr>
          <w:bCs/>
          <w:lang w:val="tr"/>
        </w:rPr>
        <w:t>Geniş uygulama kapsamı ve yüksek merkezkaç kuvvetleri</w:t>
      </w:r>
    </w:p>
    <w:p w14:paraId="036B7A9C" w14:textId="12EDACB3" w:rsidR="00705307" w:rsidRDefault="00B53336" w:rsidP="00D34E10">
      <w:pPr>
        <w:pStyle w:val="Standardabsatz"/>
      </w:pPr>
      <w:r>
        <w:rPr>
          <w:lang w:val="tr"/>
        </w:rPr>
        <w:t xml:space="preserve">Yeni vibrasyonlu altyapı silindirleri olası uygulama alanları bakımından yapışkan, kumlu ve iri taneli zeminlerin sıkıştırılması için uygundur. Geçiş (pas) sayısı belirgin bir şekilde azaltıldığı için VA vibrasyonlu altyapı silindirleri yüksek sıkıştırma kuvvetleri sayesinde kalın dökme (serme) tabakalarında da etkilidir. Böylece makineler esnek olarak kullanılabilmektedir. </w:t>
      </w:r>
    </w:p>
    <w:p w14:paraId="79F25335" w14:textId="77777777" w:rsidR="006E1F0E" w:rsidRPr="00705307" w:rsidRDefault="006E1F0E" w:rsidP="00D34E10">
      <w:pPr>
        <w:pStyle w:val="Standardabsatz"/>
      </w:pPr>
    </w:p>
    <w:p w14:paraId="31412CCB" w14:textId="5006CEEF" w:rsidR="00E15EBE" w:rsidRPr="00D85055" w:rsidRDefault="00E15EBE" w:rsidP="00E15EBE">
      <w:pPr>
        <w:pStyle w:val="Fotos"/>
      </w:pPr>
      <w:r>
        <w:rPr>
          <w:bCs/>
          <w:lang w:val="tr"/>
        </w:rPr>
        <w:t>Fotoğraflar:</w:t>
      </w:r>
    </w:p>
    <w:p w14:paraId="50A48089" w14:textId="77777777" w:rsidR="00D85055" w:rsidRDefault="00D85055" w:rsidP="002611FE">
      <w:pPr>
        <w:pStyle w:val="BUbold"/>
      </w:pPr>
      <w:r>
        <w:rPr>
          <w:b w:val="0"/>
          <w:noProof/>
          <w:lang w:val="tr"/>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D85055" w:rsidRDefault="00B96B03" w:rsidP="002611FE">
      <w:pPr>
        <w:pStyle w:val="BUbold"/>
      </w:pPr>
      <w:r>
        <w:rPr>
          <w:bCs/>
          <w:lang w:val="tr"/>
        </w:rPr>
        <w:t>HAMM_Smart Compact soil_01</w:t>
      </w:r>
    </w:p>
    <w:p w14:paraId="47324A88" w14:textId="754F3D6C" w:rsidR="002611FE" w:rsidRPr="00B44A7F" w:rsidRDefault="00B44A7F" w:rsidP="002611FE">
      <w:pPr>
        <w:pStyle w:val="BUnormal"/>
      </w:pPr>
      <w:r>
        <w:rPr>
          <w:lang w:val="tr"/>
        </w:rPr>
        <w:t>Smart Compact‘e sahip yeni vibrasyonlu altyapı silindirleri: Hamm şu andan itibaren 20 ve 25 t ağırlığındaki HC 200i C VA ve HC 250i C VA vibrasyonlu altyapı silindirleri ile hafriyatta hedef değere otomatik sıkıştırma sağlayan makineler sunuyor.</w:t>
      </w:r>
    </w:p>
    <w:p w14:paraId="29E92010" w14:textId="0DB00985" w:rsidR="00BD25D1" w:rsidRPr="00980FB7" w:rsidRDefault="00E4065A" w:rsidP="00BD25D1">
      <w:pPr>
        <w:pStyle w:val="BUbold"/>
      </w:pPr>
      <w:r>
        <w:rPr>
          <w:b w:val="0"/>
          <w:noProof/>
          <w:lang w:val="tr"/>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b w:val="0"/>
          <w:lang w:val="tr"/>
        </w:rPr>
        <w:br/>
      </w:r>
      <w:r>
        <w:rPr>
          <w:bCs/>
          <w:lang w:val="tr"/>
        </w:rPr>
        <w:t>HAMM_Smart Compact soil_02</w:t>
      </w:r>
    </w:p>
    <w:p w14:paraId="4706AC94" w14:textId="3306BD2F" w:rsidR="00294558" w:rsidRDefault="007B0A63" w:rsidP="00B225F4">
      <w:pPr>
        <w:pStyle w:val="Note"/>
        <w:spacing w:before="0"/>
        <w:rPr>
          <w:i w:val="0"/>
        </w:rPr>
      </w:pPr>
      <w:r>
        <w:rPr>
          <w:i w:val="0"/>
          <w:lang w:val="tr"/>
        </w:rPr>
        <w:t xml:space="preserve">Otomatik sıkıştırma için yeni tambur: Hassas ve sürekli olarak elde edilen sıkıştırma değeriSmart Compaction Değeri baz alınarakHamm‘ın yeni geliştirdiği VA tamburunun sıkıştırma kuvveti sürekli olarak ihtiyaca göre ayarlanır. </w:t>
      </w:r>
    </w:p>
    <w:p w14:paraId="7F7F8078" w14:textId="77777777" w:rsidR="00294558" w:rsidRPr="00CA0804" w:rsidRDefault="00294558" w:rsidP="00294558">
      <w:pPr>
        <w:spacing w:line="280" w:lineRule="atLeast"/>
        <w:rPr>
          <w:rFonts w:eastAsia="Times New Roman"/>
          <w:sz w:val="22"/>
          <w:szCs w:val="22"/>
          <w:lang w:val="tr"/>
        </w:rPr>
      </w:pPr>
      <w:r>
        <w:rPr>
          <w:rFonts w:eastAsia="Times New Roman"/>
          <w:i/>
          <w:iCs/>
          <w:sz w:val="22"/>
          <w:szCs w:val="22"/>
          <w:u w:val="single"/>
          <w:lang w:val="tr"/>
        </w:rPr>
        <w:t>Not:</w:t>
      </w:r>
      <w:r>
        <w:rPr>
          <w:rFonts w:eastAsia="Times New Roman"/>
          <w:i/>
          <w:iCs/>
          <w:sz w:val="22"/>
          <w:szCs w:val="22"/>
          <w:lang w:val="tr"/>
        </w:rPr>
        <w:t xml:space="preserve"> Bu fotoğraflar yalnızca önizleme amaçlıdır. Yayınlardaki baskı için lütfen ekteki indirme dosyasında bulunan 300 dpi çözünürlükteki fotoğrafları kullanınız.</w:t>
      </w:r>
    </w:p>
    <w:p w14:paraId="597087DC" w14:textId="77777777" w:rsidR="00294558" w:rsidRPr="00CA0804" w:rsidRDefault="00294558" w:rsidP="00294558">
      <w:pPr>
        <w:spacing w:line="280" w:lineRule="atLeast"/>
        <w:rPr>
          <w:rFonts w:eastAsia="Times New Roman"/>
          <w:sz w:val="22"/>
          <w:szCs w:val="22"/>
          <w:lang w:val="tr"/>
        </w:rPr>
      </w:pPr>
    </w:p>
    <w:p w14:paraId="4D18DDF6" w14:textId="77777777" w:rsidR="00294558" w:rsidRPr="00CA0804" w:rsidRDefault="00294558" w:rsidP="00294558">
      <w:pPr>
        <w:spacing w:line="280" w:lineRule="atLeast"/>
        <w:rPr>
          <w:rFonts w:eastAsia="Times New Roman"/>
          <w:sz w:val="22"/>
          <w:szCs w:val="22"/>
          <w:lang w:val="tr"/>
        </w:rPr>
      </w:pPr>
    </w:p>
    <w:p w14:paraId="298208F7" w14:textId="77777777" w:rsidR="00AE59AF" w:rsidRPr="00CA0804" w:rsidRDefault="00AE59AF" w:rsidP="00294558">
      <w:pPr>
        <w:spacing w:line="280" w:lineRule="atLeast"/>
        <w:rPr>
          <w:rFonts w:eastAsia="Times New Roman"/>
          <w:sz w:val="22"/>
          <w:szCs w:val="22"/>
          <w:lang w:val="tr"/>
        </w:rPr>
      </w:pPr>
    </w:p>
    <w:p w14:paraId="6CF81E4B" w14:textId="251E88D8" w:rsidR="00CA0804" w:rsidRPr="00CA0804" w:rsidRDefault="00CA0804">
      <w:pPr>
        <w:rPr>
          <w:rFonts w:eastAsia="Times New Roman"/>
          <w:sz w:val="22"/>
          <w:szCs w:val="22"/>
          <w:lang w:val="tr"/>
        </w:rPr>
      </w:pPr>
      <w:r w:rsidRPr="00CA0804">
        <w:rPr>
          <w:rFonts w:eastAsia="Times New Roman"/>
          <w:sz w:val="22"/>
          <w:szCs w:val="22"/>
          <w:lang w:val="tr"/>
        </w:rPr>
        <w:br w:type="page"/>
      </w:r>
    </w:p>
    <w:tbl>
      <w:tblPr>
        <w:tblStyle w:val="Basic"/>
        <w:tblW w:w="10139" w:type="dxa"/>
        <w:tblLook w:val="04A0" w:firstRow="1" w:lastRow="0" w:firstColumn="1" w:lastColumn="0" w:noHBand="0" w:noVBand="1"/>
      </w:tblPr>
      <w:tblGrid>
        <w:gridCol w:w="5084"/>
        <w:gridCol w:w="5055"/>
      </w:tblGrid>
      <w:tr w:rsidR="00294558" w:rsidRPr="00294558" w14:paraId="64DCC4A0" w14:textId="77777777" w:rsidTr="007B1B78">
        <w:trPr>
          <w:cnfStyle w:val="100000000000" w:firstRow="1" w:lastRow="0" w:firstColumn="0" w:lastColumn="0" w:oddVBand="0" w:evenVBand="0" w:oddHBand="0" w:evenHBand="0" w:firstRowFirstColumn="0" w:firstRowLastColumn="0" w:lastRowFirstColumn="0" w:lastRowLastColumn="0"/>
          <w:trHeight w:val="3750"/>
        </w:trPr>
        <w:tc>
          <w:tcPr>
            <w:tcW w:w="5084" w:type="dxa"/>
            <w:tcBorders>
              <w:top w:val="nil"/>
              <w:left w:val="nil"/>
              <w:bottom w:val="nil"/>
              <w:right w:val="single" w:sz="48" w:space="0" w:color="FFFFFF" w:themeColor="background1"/>
            </w:tcBorders>
          </w:tcPr>
          <w:p w14:paraId="4E07F471" w14:textId="77777777" w:rsidR="00294558" w:rsidRPr="00CA0804" w:rsidRDefault="00294558" w:rsidP="00294558">
            <w:pPr>
              <w:pBdr>
                <w:bottom w:val="single" w:sz="4" w:space="1" w:color="auto"/>
              </w:pBdr>
              <w:spacing w:after="260" w:line="276" w:lineRule="auto"/>
              <w:contextualSpacing/>
              <w:rPr>
                <w:rFonts w:eastAsia="Times New Roman"/>
                <w:b/>
                <w:sz w:val="22"/>
                <w:szCs w:val="22"/>
                <w:lang w:val="tr"/>
              </w:rPr>
            </w:pPr>
            <w:r>
              <w:rPr>
                <w:rFonts w:eastAsia="Times New Roman"/>
                <w:b/>
                <w:bCs/>
                <w:sz w:val="22"/>
                <w:szCs w:val="22"/>
                <w:lang w:val="tr"/>
              </w:rPr>
              <w:lastRenderedPageBreak/>
              <w:t xml:space="preserve">Daha fazla bilgi için </w:t>
            </w:r>
          </w:p>
          <w:p w14:paraId="2239773B" w14:textId="77777777" w:rsidR="00294558" w:rsidRPr="00CA0804" w:rsidRDefault="00294558" w:rsidP="00294558">
            <w:pPr>
              <w:pBdr>
                <w:bottom w:val="single" w:sz="4" w:space="1" w:color="auto"/>
              </w:pBdr>
              <w:spacing w:after="260" w:line="276" w:lineRule="auto"/>
              <w:contextualSpacing/>
              <w:rPr>
                <w:rFonts w:eastAsia="Times New Roman"/>
                <w:b/>
                <w:caps/>
                <w:sz w:val="22"/>
                <w:szCs w:val="22"/>
                <w:lang w:val="tr"/>
              </w:rPr>
            </w:pPr>
            <w:r>
              <w:rPr>
                <w:rFonts w:eastAsia="Times New Roman"/>
                <w:b/>
                <w:bCs/>
                <w:sz w:val="22"/>
                <w:szCs w:val="22"/>
                <w:lang w:val="tr"/>
              </w:rPr>
              <w:t>için</w:t>
            </w:r>
            <w:r>
              <w:rPr>
                <w:rFonts w:eastAsia="Times New Roman"/>
                <w:b/>
                <w:bCs/>
                <w:caps/>
                <w:sz w:val="22"/>
                <w:szCs w:val="22"/>
                <w:lang w:val="tr"/>
              </w:rPr>
              <w:t>:</w:t>
            </w:r>
          </w:p>
          <w:p w14:paraId="119FE6A8"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WIRTGEN GROUP</w:t>
            </w:r>
          </w:p>
          <w:p w14:paraId="3E6074CD"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Halkla ilişkiler</w:t>
            </w:r>
          </w:p>
          <w:p w14:paraId="156DB80A"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Reinhard-Wirtgen-Straße 2</w:t>
            </w:r>
          </w:p>
          <w:p w14:paraId="2D3A09C3"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53578 Windhagen</w:t>
            </w:r>
          </w:p>
          <w:p w14:paraId="2695452C"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Almanya</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 xml:space="preserve">Telefon numarası: +49 (0) 2645 131 – 1966 </w:t>
            </w:r>
          </w:p>
          <w:p w14:paraId="01607FEB"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Faks numarası: +49 (0) 2645 131 – 499</w:t>
            </w:r>
          </w:p>
          <w:p w14:paraId="6E18199C"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E-posta: PR@wirtgen-group.com</w:t>
            </w:r>
          </w:p>
          <w:p w14:paraId="2D9B5B34" w14:textId="77777777" w:rsidR="00294558" w:rsidRPr="00294558" w:rsidRDefault="00294558" w:rsidP="00294558">
            <w:pPr>
              <w:spacing w:line="280" w:lineRule="atLeast"/>
              <w:rPr>
                <w:rFonts w:eastAsia="Times New Roman"/>
                <w:sz w:val="22"/>
                <w:szCs w:val="22"/>
              </w:rPr>
            </w:pPr>
            <w:r>
              <w:rPr>
                <w:rFonts w:eastAsia="Times New Roman"/>
                <w:sz w:val="22"/>
                <w:szCs w:val="22"/>
                <w:lang w:val="tr"/>
              </w:rPr>
              <w:t>www.wirtgen-group.com</w:t>
            </w:r>
          </w:p>
        </w:tc>
        <w:tc>
          <w:tcPr>
            <w:tcW w:w="5055"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r>
        <w:separator/>
      </w:r>
    </w:p>
  </w:endnote>
  <w:endnote w:type="continuationSeparator" w:id="0">
    <w:p w14:paraId="57AE37D9" w14:textId="77777777" w:rsidR="002965D8" w:rsidRDefault="002965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03</w:t>
          </w:r>
          <w:r>
            <w:rPr>
              <w:szCs w:val="20"/>
              <w:lang w:val="tr"/>
            </w:rPr>
            <w:fldChar w:fldCharType="end"/>
          </w:r>
        </w:p>
      </w:tc>
    </w:tr>
  </w:tbl>
  <w:p w14:paraId="7CF7D2C8" w14:textId="77777777" w:rsidR="00705307" w:rsidRDefault="00705307">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Pr>
              <w:rStyle w:val="Hervorhebung"/>
              <w:b w:val="0"/>
              <w:iCs w:val="0"/>
              <w:szCs w:val="20"/>
              <w:lang w:val="tr"/>
            </w:rPr>
            <w:t>WIRTGEN GmbH</w:t>
          </w:r>
          <w:r>
            <w:rPr>
              <w:szCs w:val="20"/>
              <w:lang w:val="tr"/>
            </w:rPr>
            <w:t xml:space="preserve"> </w:t>
          </w:r>
          <w:r>
            <w:rPr>
              <w:b/>
              <w:bCs/>
              <w:szCs w:val="20"/>
              <w:lang w:val="tr"/>
            </w:rPr>
            <w:t xml:space="preserve">· </w:t>
          </w:r>
          <w:r>
            <w:rPr>
              <w:szCs w:val="20"/>
              <w:lang w:val="tr"/>
            </w:rPr>
            <w:t>Reinhard-Wirtgen-Str. 2 · D-53578 Windhagen · T: +49 26 45 / 131 0</w:t>
          </w:r>
        </w:p>
      </w:tc>
    </w:tr>
  </w:tbl>
  <w:p w14:paraId="732BEB33" w14:textId="77777777" w:rsidR="00705307" w:rsidRDefault="00705307">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r>
        <w:separator/>
      </w:r>
    </w:p>
  </w:footnote>
  <w:footnote w:type="continuationSeparator" w:id="0">
    <w:p w14:paraId="727D2296" w14:textId="77777777" w:rsidR="002965D8" w:rsidRDefault="002965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lang w:val="tr"/>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val="tr"/>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val="tr"/>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8" type="#_x0000_t75" style="width:1500pt;height:1500pt" o:bullet="t">
        <v:imagedata r:id="rId1" o:title="AZ_04a"/>
      </v:shape>
    </w:pict>
  </w:numPicBullet>
  <w:numPicBullet w:numPicBulletId="1">
    <w:pict>
      <v:shape id="_x0000_i125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3EFC"/>
    <w:rsid w:val="003967E5"/>
    <w:rsid w:val="003A753A"/>
    <w:rsid w:val="003B3803"/>
    <w:rsid w:val="003C2A71"/>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C6B30"/>
    <w:rsid w:val="005C71EC"/>
    <w:rsid w:val="005E764C"/>
    <w:rsid w:val="005E7F7D"/>
    <w:rsid w:val="00603924"/>
    <w:rsid w:val="006063D4"/>
    <w:rsid w:val="00623B37"/>
    <w:rsid w:val="006330A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B1B78"/>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0804"/>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3981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60</cp:revision>
  <cp:lastPrinted>2023-12-12T06:50:00Z</cp:lastPrinted>
  <dcterms:created xsi:type="dcterms:W3CDTF">2023-07-04T12:35:00Z</dcterms:created>
  <dcterms:modified xsi:type="dcterms:W3CDTF">2024-03-11T14:14:00Z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